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65C" w:rsidRPr="006C3895" w:rsidRDefault="00932EBB">
      <w:pPr>
        <w:rPr>
          <w:b/>
          <w:sz w:val="28"/>
        </w:rPr>
      </w:pPr>
      <w:r w:rsidRPr="006C3895">
        <w:rPr>
          <w:b/>
          <w:sz w:val="28"/>
        </w:rPr>
        <w:t>Case 4: Common Variable Immunodeficiency</w:t>
      </w:r>
    </w:p>
    <w:p w:rsidR="00932EBB" w:rsidRPr="006C3895" w:rsidRDefault="00932EBB">
      <w:pPr>
        <w:rPr>
          <w:b/>
          <w:sz w:val="24"/>
        </w:rPr>
      </w:pPr>
      <w:r w:rsidRPr="006C3895">
        <w:rPr>
          <w:b/>
          <w:sz w:val="24"/>
        </w:rPr>
        <w:t>Case Details</w:t>
      </w:r>
    </w:p>
    <w:p w:rsidR="00932EBB" w:rsidRDefault="00932EBB" w:rsidP="00932EBB">
      <w:pPr>
        <w:pStyle w:val="ListParagraph"/>
        <w:numPr>
          <w:ilvl w:val="0"/>
          <w:numId w:val="1"/>
        </w:numPr>
      </w:pPr>
      <w:r>
        <w:t>Past History</w:t>
      </w:r>
    </w:p>
    <w:p w:rsidR="00932EBB" w:rsidRDefault="00932EBB" w:rsidP="00932EBB">
      <w:pPr>
        <w:pStyle w:val="ListParagraph"/>
        <w:numPr>
          <w:ilvl w:val="1"/>
          <w:numId w:val="1"/>
        </w:numPr>
      </w:pPr>
      <w:r>
        <w:t>Recurrent respiratory and GI infections</w:t>
      </w:r>
    </w:p>
    <w:p w:rsidR="00932EBB" w:rsidRDefault="00932EBB" w:rsidP="00932EBB">
      <w:pPr>
        <w:pStyle w:val="ListParagraph"/>
        <w:numPr>
          <w:ilvl w:val="1"/>
          <w:numId w:val="1"/>
        </w:numPr>
      </w:pPr>
      <w:r>
        <w:t>Frequent otitis, sinusitis, tonsillitis, and intermittent diarrhea</w:t>
      </w:r>
    </w:p>
    <w:p w:rsidR="00932EBB" w:rsidRDefault="00932EBB" w:rsidP="00932EBB">
      <w:pPr>
        <w:pStyle w:val="ListParagraph"/>
        <w:numPr>
          <w:ilvl w:val="1"/>
          <w:numId w:val="1"/>
        </w:numPr>
      </w:pPr>
      <w:r>
        <w:t xml:space="preserve">At 25 </w:t>
      </w:r>
      <w:proofErr w:type="spellStart"/>
      <w:r>
        <w:t>yrs</w:t>
      </w:r>
      <w:proofErr w:type="spellEnd"/>
      <w:r>
        <w:t xml:space="preserve"> of age, diagnosed with thyroid insufficiency</w:t>
      </w:r>
    </w:p>
    <w:p w:rsidR="00932EBB" w:rsidRDefault="00932EBB" w:rsidP="00932EBB">
      <w:pPr>
        <w:pStyle w:val="ListParagraph"/>
        <w:numPr>
          <w:ilvl w:val="0"/>
          <w:numId w:val="1"/>
        </w:numPr>
      </w:pPr>
      <w:r>
        <w:t>Physical Examination</w:t>
      </w:r>
    </w:p>
    <w:p w:rsidR="00932EBB" w:rsidRDefault="00932EBB" w:rsidP="00932EBB">
      <w:pPr>
        <w:pStyle w:val="ListParagraph"/>
        <w:numPr>
          <w:ilvl w:val="1"/>
          <w:numId w:val="1"/>
        </w:numPr>
      </w:pPr>
      <w:r>
        <w:t>Enlarged spleen</w:t>
      </w:r>
    </w:p>
    <w:p w:rsidR="00932EBB" w:rsidRDefault="00932EBB" w:rsidP="00932EBB">
      <w:pPr>
        <w:pStyle w:val="ListParagraph"/>
        <w:numPr>
          <w:ilvl w:val="1"/>
          <w:numId w:val="1"/>
        </w:numPr>
      </w:pPr>
      <w:r>
        <w:t xml:space="preserve">Lower than normal levels of all </w:t>
      </w:r>
      <w:proofErr w:type="spellStart"/>
      <w:r>
        <w:t>Ig</w:t>
      </w:r>
      <w:proofErr w:type="spellEnd"/>
      <w:r>
        <w:t xml:space="preserve"> </w:t>
      </w:r>
      <w:proofErr w:type="spellStart"/>
      <w:r>
        <w:t>isotypes</w:t>
      </w:r>
      <w:proofErr w:type="spellEnd"/>
    </w:p>
    <w:p w:rsidR="00932EBB" w:rsidRDefault="00932EBB" w:rsidP="00932EBB">
      <w:pPr>
        <w:pStyle w:val="ListParagraph"/>
        <w:numPr>
          <w:ilvl w:val="1"/>
          <w:numId w:val="1"/>
        </w:numPr>
      </w:pPr>
      <w:r>
        <w:t xml:space="preserve">Immunized several times but with </w:t>
      </w:r>
      <w:r w:rsidRPr="007C6C08">
        <w:rPr>
          <w:highlight w:val="yellow"/>
        </w:rPr>
        <w:t xml:space="preserve">no </w:t>
      </w:r>
      <w:proofErr w:type="spellStart"/>
      <w:r w:rsidRPr="007C6C08">
        <w:rPr>
          <w:highlight w:val="yellow"/>
        </w:rPr>
        <w:t>Ab</w:t>
      </w:r>
      <w:proofErr w:type="spellEnd"/>
      <w:r w:rsidRPr="007C6C08">
        <w:rPr>
          <w:highlight w:val="yellow"/>
        </w:rPr>
        <w:t xml:space="preserve"> formation</w:t>
      </w:r>
    </w:p>
    <w:p w:rsidR="00932EBB" w:rsidRDefault="00932EBB" w:rsidP="00932EBB">
      <w:pPr>
        <w:pStyle w:val="ListParagraph"/>
        <w:numPr>
          <w:ilvl w:val="1"/>
          <w:numId w:val="1"/>
        </w:numPr>
      </w:pPr>
      <w:r>
        <w:t xml:space="preserve">Normal </w:t>
      </w:r>
      <w:r w:rsidRPr="007C6C08">
        <w:rPr>
          <w:highlight w:val="yellow"/>
        </w:rPr>
        <w:t>B and T cells</w:t>
      </w:r>
    </w:p>
    <w:p w:rsidR="00932EBB" w:rsidRDefault="00932EBB" w:rsidP="00932EBB">
      <w:pPr>
        <w:pStyle w:val="ListParagraph"/>
        <w:numPr>
          <w:ilvl w:val="1"/>
          <w:numId w:val="1"/>
        </w:numPr>
      </w:pPr>
      <w:r>
        <w:t xml:space="preserve">High levels of </w:t>
      </w:r>
      <w:proofErr w:type="spellStart"/>
      <w:r>
        <w:t>antithyroid</w:t>
      </w:r>
      <w:proofErr w:type="spellEnd"/>
      <w:r>
        <w:t xml:space="preserve"> antibodies</w:t>
      </w:r>
    </w:p>
    <w:p w:rsidR="00932EBB" w:rsidRDefault="00932EBB" w:rsidP="00932EBB">
      <w:pPr>
        <w:pStyle w:val="ListParagraph"/>
        <w:numPr>
          <w:ilvl w:val="0"/>
          <w:numId w:val="1"/>
        </w:numPr>
      </w:pPr>
      <w:r>
        <w:t>Family History</w:t>
      </w:r>
    </w:p>
    <w:p w:rsidR="00932EBB" w:rsidRDefault="0084675D" w:rsidP="00932EBB">
      <w:pPr>
        <w:pStyle w:val="ListParagraph"/>
        <w:numPr>
          <w:ilvl w:val="1"/>
          <w:numId w:val="1"/>
        </w:numPr>
      </w:pPr>
      <w:r>
        <w:t xml:space="preserve">Twin sister and mother had </w:t>
      </w:r>
      <w:proofErr w:type="spellStart"/>
      <w:r w:rsidRPr="007C6C08">
        <w:rPr>
          <w:highlight w:val="yellow"/>
        </w:rPr>
        <w:t>hypogammaglobulinemia</w:t>
      </w:r>
      <w:proofErr w:type="spellEnd"/>
      <w:r>
        <w:t xml:space="preserve"> and inability to make specific Abs</w:t>
      </w:r>
    </w:p>
    <w:p w:rsidR="0084675D" w:rsidRDefault="0084675D" w:rsidP="00932EBB">
      <w:pPr>
        <w:pStyle w:val="ListParagraph"/>
        <w:numPr>
          <w:ilvl w:val="1"/>
          <w:numId w:val="1"/>
        </w:numPr>
      </w:pPr>
      <w:r>
        <w:t>Sister – recurrent viral and bacterial infections</w:t>
      </w:r>
    </w:p>
    <w:p w:rsidR="0084675D" w:rsidRDefault="0084675D" w:rsidP="0084675D">
      <w:pPr>
        <w:pStyle w:val="ListParagraph"/>
        <w:numPr>
          <w:ilvl w:val="2"/>
          <w:numId w:val="1"/>
        </w:numPr>
      </w:pPr>
      <w:r>
        <w:t xml:space="preserve">Developed hemolytic anemia and </w:t>
      </w:r>
      <w:proofErr w:type="spellStart"/>
      <w:r>
        <w:t>vasculitis</w:t>
      </w:r>
      <w:proofErr w:type="spellEnd"/>
    </w:p>
    <w:p w:rsidR="0084675D" w:rsidRDefault="0084675D" w:rsidP="0084675D">
      <w:pPr>
        <w:pStyle w:val="ListParagraph"/>
        <w:numPr>
          <w:ilvl w:val="2"/>
          <w:numId w:val="1"/>
        </w:numPr>
      </w:pPr>
      <w:r>
        <w:t>Died from GI cancer</w:t>
      </w:r>
    </w:p>
    <w:p w:rsidR="0084675D" w:rsidRDefault="0084675D" w:rsidP="0084675D">
      <w:pPr>
        <w:pStyle w:val="ListParagraph"/>
        <w:numPr>
          <w:ilvl w:val="1"/>
          <w:numId w:val="1"/>
        </w:numPr>
      </w:pPr>
      <w:r>
        <w:t>Mother – Died from non-Hodgkin’s lymphoma</w:t>
      </w:r>
    </w:p>
    <w:p w:rsidR="0084675D" w:rsidRDefault="00064E7A" w:rsidP="0084675D">
      <w:pPr>
        <w:pStyle w:val="ListParagraph"/>
        <w:numPr>
          <w:ilvl w:val="1"/>
          <w:numId w:val="1"/>
        </w:numPr>
      </w:pPr>
      <w:r>
        <w:t xml:space="preserve">Brother – </w:t>
      </w:r>
      <w:r w:rsidRPr="007C6C08">
        <w:rPr>
          <w:highlight w:val="yellow"/>
        </w:rPr>
        <w:t>Diagnosed with CVID</w:t>
      </w:r>
    </w:p>
    <w:p w:rsidR="00977F8A" w:rsidRDefault="00977F8A" w:rsidP="00977F8A">
      <w:pPr>
        <w:pStyle w:val="ListParagraph"/>
        <w:numPr>
          <w:ilvl w:val="0"/>
          <w:numId w:val="1"/>
        </w:numPr>
      </w:pPr>
      <w:r>
        <w:t>Plan of Action</w:t>
      </w:r>
    </w:p>
    <w:p w:rsidR="00977F8A" w:rsidRDefault="00977F8A" w:rsidP="00977F8A">
      <w:pPr>
        <w:pStyle w:val="ListParagraph"/>
        <w:numPr>
          <w:ilvl w:val="1"/>
          <w:numId w:val="1"/>
        </w:numPr>
      </w:pPr>
      <w:r>
        <w:t>DIAG of CVID (common variable immune deficiency)</w:t>
      </w:r>
    </w:p>
    <w:p w:rsidR="00977F8A" w:rsidRDefault="00977F8A" w:rsidP="00977F8A">
      <w:pPr>
        <w:pStyle w:val="ListParagraph"/>
        <w:numPr>
          <w:ilvl w:val="1"/>
          <w:numId w:val="1"/>
        </w:numPr>
      </w:pPr>
      <w:r>
        <w:t xml:space="preserve">Placed on </w:t>
      </w:r>
      <w:proofErr w:type="spellStart"/>
      <w:r w:rsidRPr="007C6C08">
        <w:rPr>
          <w:highlight w:val="yellow"/>
        </w:rPr>
        <w:t>IVIg</w:t>
      </w:r>
      <w:proofErr w:type="spellEnd"/>
      <w:r w:rsidRPr="007C6C08">
        <w:rPr>
          <w:highlight w:val="yellow"/>
        </w:rPr>
        <w:t xml:space="preserve"> 35 g every 2</w:t>
      </w:r>
      <w:r>
        <w:t xml:space="preserve"> weeks</w:t>
      </w:r>
      <w:r w:rsidR="007C6C08">
        <w:t xml:space="preserve"> </w:t>
      </w:r>
    </w:p>
    <w:p w:rsidR="000B6DE9" w:rsidRPr="006C3895" w:rsidRDefault="000B6DE9" w:rsidP="000B6DE9">
      <w:pPr>
        <w:rPr>
          <w:b/>
          <w:sz w:val="24"/>
        </w:rPr>
      </w:pPr>
      <w:r w:rsidRPr="006C3895">
        <w:rPr>
          <w:b/>
          <w:sz w:val="24"/>
        </w:rPr>
        <w:t>CVID (Common Variable Immunodeficiency)</w:t>
      </w:r>
      <w:r w:rsidR="007C6C08">
        <w:rPr>
          <w:b/>
          <w:sz w:val="24"/>
        </w:rPr>
        <w:t xml:space="preserve"> multiple genetic bases but this one is involved in </w:t>
      </w:r>
      <w:proofErr w:type="spellStart"/>
      <w:r w:rsidR="007C6C08">
        <w:rPr>
          <w:b/>
          <w:sz w:val="24"/>
        </w:rPr>
        <w:t>isotype</w:t>
      </w:r>
      <w:proofErr w:type="spellEnd"/>
      <w:r w:rsidR="007C6C08">
        <w:rPr>
          <w:b/>
          <w:sz w:val="24"/>
        </w:rPr>
        <w:t xml:space="preserve"> switching</w:t>
      </w:r>
    </w:p>
    <w:p w:rsidR="00AC7E2F" w:rsidRDefault="00AC7E2F" w:rsidP="00AC7E2F">
      <w:pPr>
        <w:pStyle w:val="ListParagraph"/>
        <w:numPr>
          <w:ilvl w:val="0"/>
          <w:numId w:val="1"/>
        </w:numPr>
      </w:pPr>
      <w:r>
        <w:t>Characteristics</w:t>
      </w:r>
    </w:p>
    <w:p w:rsidR="00AC7E2F" w:rsidRDefault="00AC7E2F" w:rsidP="00AC7E2F">
      <w:pPr>
        <w:pStyle w:val="ListParagraph"/>
        <w:numPr>
          <w:ilvl w:val="1"/>
          <w:numId w:val="1"/>
        </w:numPr>
      </w:pPr>
      <w:r>
        <w:t xml:space="preserve">Low serum levels of all switched </w:t>
      </w:r>
      <w:proofErr w:type="spellStart"/>
      <w:r>
        <w:t>Ig</w:t>
      </w:r>
      <w:proofErr w:type="spellEnd"/>
      <w:r>
        <w:t xml:space="preserve"> </w:t>
      </w:r>
      <w:proofErr w:type="spellStart"/>
      <w:r>
        <w:t>isotypes</w:t>
      </w:r>
      <w:proofErr w:type="spellEnd"/>
    </w:p>
    <w:p w:rsidR="00AC7E2F" w:rsidRDefault="00AC7E2F" w:rsidP="00AC7E2F">
      <w:pPr>
        <w:pStyle w:val="ListParagraph"/>
        <w:numPr>
          <w:ilvl w:val="1"/>
          <w:numId w:val="1"/>
        </w:numPr>
      </w:pPr>
      <w:r>
        <w:t>Impaired ability to produce specific Abs, even IgM class</w:t>
      </w:r>
    </w:p>
    <w:p w:rsidR="002631D3" w:rsidRDefault="00AC7E2F" w:rsidP="00AC7E2F">
      <w:pPr>
        <w:pStyle w:val="ListParagraph"/>
        <w:numPr>
          <w:ilvl w:val="1"/>
          <w:numId w:val="1"/>
        </w:numPr>
      </w:pPr>
      <w:r>
        <w:t>Increased susceptibility to respiratory and GI infections</w:t>
      </w:r>
      <w:r w:rsidR="007C6C08">
        <w:t xml:space="preserve"> (IgG and A)</w:t>
      </w:r>
    </w:p>
    <w:p w:rsidR="00AC7E2F" w:rsidRDefault="002631D3" w:rsidP="002631D3">
      <w:pPr>
        <w:pStyle w:val="ListParagraph"/>
        <w:numPr>
          <w:ilvl w:val="2"/>
          <w:numId w:val="1"/>
        </w:numPr>
      </w:pPr>
      <w:r>
        <w:t xml:space="preserve">especially </w:t>
      </w:r>
      <w:r w:rsidRPr="007C6C08">
        <w:rPr>
          <w:highlight w:val="yellow"/>
        </w:rPr>
        <w:t>encapsulated bacteria</w:t>
      </w:r>
    </w:p>
    <w:p w:rsidR="00B536CA" w:rsidRDefault="00B536CA" w:rsidP="00AC7E2F">
      <w:pPr>
        <w:pStyle w:val="ListParagraph"/>
        <w:numPr>
          <w:ilvl w:val="1"/>
          <w:numId w:val="1"/>
        </w:numPr>
      </w:pPr>
      <w:r>
        <w:t>Severely deficient in plasma cells</w:t>
      </w:r>
    </w:p>
    <w:p w:rsidR="00B536CA" w:rsidRDefault="00B536CA" w:rsidP="00AC7E2F">
      <w:pPr>
        <w:pStyle w:val="ListParagraph"/>
        <w:numPr>
          <w:ilvl w:val="1"/>
          <w:numId w:val="1"/>
        </w:numPr>
      </w:pPr>
      <w:r>
        <w:t xml:space="preserve">Impaired somatic </w:t>
      </w:r>
      <w:proofErr w:type="spellStart"/>
      <w:r>
        <w:t>hypermutation</w:t>
      </w:r>
      <w:proofErr w:type="spellEnd"/>
    </w:p>
    <w:p w:rsidR="00347268" w:rsidRDefault="00347268" w:rsidP="00AC7E2F">
      <w:pPr>
        <w:pStyle w:val="ListParagraph"/>
        <w:numPr>
          <w:ilvl w:val="1"/>
          <w:numId w:val="1"/>
        </w:numPr>
      </w:pPr>
      <w:r w:rsidRPr="007C6C08">
        <w:rPr>
          <w:highlight w:val="yellow"/>
        </w:rPr>
        <w:t>300 fold increased risk of lymphoma</w:t>
      </w:r>
      <w:r>
        <w:t xml:space="preserve"> and 50x risk of gastric carcinoma</w:t>
      </w:r>
    </w:p>
    <w:p w:rsidR="007C6C08" w:rsidRDefault="007C6C08" w:rsidP="00AC7E2F">
      <w:pPr>
        <w:pStyle w:val="ListParagraph"/>
        <w:numPr>
          <w:ilvl w:val="1"/>
          <w:numId w:val="1"/>
        </w:numPr>
      </w:pPr>
      <w:r>
        <w:t>granulomas</w:t>
      </w:r>
    </w:p>
    <w:p w:rsidR="009C5867" w:rsidRDefault="009C5867" w:rsidP="009C5867">
      <w:pPr>
        <w:pStyle w:val="ListParagraph"/>
        <w:numPr>
          <w:ilvl w:val="0"/>
          <w:numId w:val="1"/>
        </w:numPr>
      </w:pPr>
      <w:r>
        <w:t>Inheritance</w:t>
      </w:r>
    </w:p>
    <w:p w:rsidR="009C5867" w:rsidRDefault="009C5867" w:rsidP="009C5867">
      <w:pPr>
        <w:pStyle w:val="ListParagraph"/>
        <w:numPr>
          <w:ilvl w:val="1"/>
          <w:numId w:val="1"/>
        </w:numPr>
      </w:pPr>
      <w:r>
        <w:t>Most are sporadic</w:t>
      </w:r>
    </w:p>
    <w:p w:rsidR="009C5867" w:rsidRDefault="009C5867" w:rsidP="009C5867">
      <w:pPr>
        <w:pStyle w:val="ListParagraph"/>
        <w:numPr>
          <w:ilvl w:val="1"/>
          <w:numId w:val="1"/>
        </w:numPr>
      </w:pPr>
      <w:r>
        <w:t>Initially may present with IgA deficiency, which over several years may develop into CVID</w:t>
      </w:r>
    </w:p>
    <w:p w:rsidR="00E16D69" w:rsidRDefault="00E16D69" w:rsidP="009C5867">
      <w:pPr>
        <w:pStyle w:val="ListParagraph"/>
        <w:numPr>
          <w:ilvl w:val="1"/>
          <w:numId w:val="1"/>
        </w:numPr>
      </w:pPr>
      <w:r>
        <w:t>Genetic Basis is largely unknown</w:t>
      </w:r>
    </w:p>
    <w:p w:rsidR="004C1085" w:rsidRDefault="004C1085" w:rsidP="004C1085">
      <w:pPr>
        <w:pStyle w:val="ListParagraph"/>
        <w:numPr>
          <w:ilvl w:val="2"/>
          <w:numId w:val="1"/>
        </w:numPr>
      </w:pPr>
      <w:r w:rsidRPr="007C6C08">
        <w:rPr>
          <w:highlight w:val="yellow"/>
        </w:rPr>
        <w:t>TACI</w:t>
      </w:r>
      <w:r>
        <w:t xml:space="preserve"> – variable penetrance, most common frequency</w:t>
      </w:r>
      <w:r w:rsidR="007C6C08">
        <w:t xml:space="preserve"> (this case)</w:t>
      </w:r>
    </w:p>
    <w:p w:rsidR="00A14223" w:rsidRDefault="00A14223" w:rsidP="004C1085">
      <w:pPr>
        <w:pStyle w:val="ListParagraph"/>
        <w:numPr>
          <w:ilvl w:val="2"/>
          <w:numId w:val="1"/>
        </w:numPr>
      </w:pPr>
      <w:r>
        <w:lastRenderedPageBreak/>
        <w:t>BAFF-R – arrest B-cell in an immature transitional stage</w:t>
      </w:r>
    </w:p>
    <w:p w:rsidR="00A14223" w:rsidRDefault="00A14223" w:rsidP="004C1085">
      <w:pPr>
        <w:pStyle w:val="ListParagraph"/>
        <w:numPr>
          <w:ilvl w:val="2"/>
          <w:numId w:val="1"/>
        </w:numPr>
      </w:pPr>
      <w:r>
        <w:t>CD19 +  CD20</w:t>
      </w:r>
    </w:p>
    <w:p w:rsidR="00A14223" w:rsidRDefault="00A14223" w:rsidP="004C1085">
      <w:pPr>
        <w:pStyle w:val="ListParagraph"/>
        <w:numPr>
          <w:ilvl w:val="2"/>
          <w:numId w:val="1"/>
        </w:numPr>
      </w:pPr>
      <w:r>
        <w:t>ICOS – a co-stim molecule that is important in T to B cell cooperation</w:t>
      </w:r>
    </w:p>
    <w:p w:rsidR="00A14223" w:rsidRDefault="007E2DA1" w:rsidP="004C1085">
      <w:pPr>
        <w:pStyle w:val="ListParagraph"/>
        <w:numPr>
          <w:ilvl w:val="2"/>
          <w:numId w:val="1"/>
        </w:numPr>
      </w:pPr>
      <w:r w:rsidRPr="007C6C08">
        <w:rPr>
          <w:highlight w:val="yellow"/>
        </w:rPr>
        <w:t>Msh5</w:t>
      </w:r>
      <w:r>
        <w:t xml:space="preserve"> – may be involved in class </w:t>
      </w:r>
      <w:proofErr w:type="spellStart"/>
      <w:r>
        <w:t>isotype</w:t>
      </w:r>
      <w:proofErr w:type="spellEnd"/>
      <w:r>
        <w:t xml:space="preserve"> switching</w:t>
      </w:r>
    </w:p>
    <w:p w:rsidR="000A4F08" w:rsidRDefault="000A4F08" w:rsidP="000A4F08"/>
    <w:p w:rsidR="000A4F08" w:rsidRPr="006C3895" w:rsidRDefault="000A4F08" w:rsidP="000A4F08">
      <w:pPr>
        <w:rPr>
          <w:b/>
          <w:sz w:val="24"/>
        </w:rPr>
      </w:pPr>
      <w:r w:rsidRPr="006C3895">
        <w:rPr>
          <w:b/>
          <w:sz w:val="24"/>
        </w:rPr>
        <w:t>Objectives</w:t>
      </w:r>
    </w:p>
    <w:p w:rsidR="000A4F08" w:rsidRPr="006C3895" w:rsidRDefault="000A4F08" w:rsidP="000A4F08">
      <w:pPr>
        <w:pStyle w:val="ListParagraph"/>
        <w:numPr>
          <w:ilvl w:val="0"/>
          <w:numId w:val="1"/>
        </w:numPr>
        <w:rPr>
          <w:b/>
        </w:rPr>
      </w:pPr>
      <w:r w:rsidRPr="006C3895">
        <w:rPr>
          <w:b/>
        </w:rPr>
        <w:t xml:space="preserve">Contrast properties of thymus-independent TI-1 and TI-2 antigens, and describe the main immunoglobulin </w:t>
      </w:r>
      <w:proofErr w:type="spellStart"/>
      <w:r w:rsidRPr="006C3895">
        <w:rPr>
          <w:b/>
        </w:rPr>
        <w:t>isotype</w:t>
      </w:r>
      <w:proofErr w:type="spellEnd"/>
      <w:r w:rsidRPr="006C3895">
        <w:rPr>
          <w:b/>
        </w:rPr>
        <w:t xml:space="preserve"> that is produced in response to these antigens.</w:t>
      </w:r>
      <w:r w:rsidR="007C6C08">
        <w:rPr>
          <w:b/>
        </w:rPr>
        <w:t xml:space="preserve"> </w:t>
      </w:r>
    </w:p>
    <w:p w:rsidR="004C66BB" w:rsidRDefault="004C66BB" w:rsidP="004C66BB">
      <w:pPr>
        <w:pStyle w:val="ListParagraph"/>
        <w:numPr>
          <w:ilvl w:val="1"/>
          <w:numId w:val="1"/>
        </w:numPr>
      </w:pPr>
      <w:r>
        <w:t>Tl-1 – Directly induces B-cell division without T-cell help</w:t>
      </w:r>
    </w:p>
    <w:p w:rsidR="004C66BB" w:rsidRDefault="004C66BB" w:rsidP="004C66BB">
      <w:pPr>
        <w:pStyle w:val="ListParagraph"/>
        <w:numPr>
          <w:ilvl w:val="1"/>
          <w:numId w:val="1"/>
        </w:numPr>
      </w:pPr>
      <w:r>
        <w:t xml:space="preserve">Tl-2 – Probably </w:t>
      </w:r>
      <w:r w:rsidR="009231FE">
        <w:t>stimulate B-cell by cro</w:t>
      </w:r>
      <w:r>
        <w:t>ss-linking B-cell receptors. It also can induce IgM and some class-switching responses</w:t>
      </w:r>
    </w:p>
    <w:p w:rsidR="000A4F08" w:rsidRDefault="003D0711" w:rsidP="0090556E">
      <w:pPr>
        <w:pStyle w:val="ListParagraph"/>
        <w:numPr>
          <w:ilvl w:val="1"/>
          <w:numId w:val="1"/>
        </w:numPr>
      </w:pPr>
      <w:r>
        <w:t>Both are effective in fighting encapsulated bacteria</w:t>
      </w:r>
    </w:p>
    <w:p w:rsidR="000A4F08" w:rsidRPr="006C3895" w:rsidRDefault="000A4F08" w:rsidP="000A4F08">
      <w:pPr>
        <w:pStyle w:val="ListParagraph"/>
        <w:numPr>
          <w:ilvl w:val="0"/>
          <w:numId w:val="1"/>
        </w:numPr>
        <w:rPr>
          <w:b/>
        </w:rPr>
      </w:pPr>
      <w:r w:rsidRPr="006C3895">
        <w:rPr>
          <w:b/>
        </w:rPr>
        <w:t xml:space="preserve">Describe how the TNF/TNFR family members BAFF (B cell activating factor belonging to the TNF family) and APRIL (a proliferation-inducing TNF ligand) can replace the requirement for T cell interaction by allowing B cells to undergo some </w:t>
      </w:r>
      <w:proofErr w:type="spellStart"/>
      <w:r w:rsidRPr="006C3895">
        <w:rPr>
          <w:b/>
        </w:rPr>
        <w:t>isotype</w:t>
      </w:r>
      <w:proofErr w:type="spellEnd"/>
      <w:r w:rsidRPr="006C3895">
        <w:rPr>
          <w:b/>
        </w:rPr>
        <w:t xml:space="preserve"> switching in response to TI-2 antigens.  Explain that both BAFF and APRIL appear to act via TACI, a receptor on B cells.</w:t>
      </w:r>
    </w:p>
    <w:p w:rsidR="000A4F08" w:rsidRPr="007C6C08" w:rsidRDefault="0083786C" w:rsidP="0083786C">
      <w:pPr>
        <w:pStyle w:val="ListParagraph"/>
        <w:numPr>
          <w:ilvl w:val="1"/>
          <w:numId w:val="1"/>
        </w:numPr>
        <w:rPr>
          <w:highlight w:val="yellow"/>
        </w:rPr>
      </w:pPr>
      <w:r w:rsidRPr="007C6C08">
        <w:rPr>
          <w:highlight w:val="yellow"/>
        </w:rPr>
        <w:t>BAFF</w:t>
      </w:r>
    </w:p>
    <w:p w:rsidR="0083786C" w:rsidRDefault="0083786C" w:rsidP="0083786C">
      <w:pPr>
        <w:pStyle w:val="ListParagraph"/>
        <w:numPr>
          <w:ilvl w:val="2"/>
          <w:numId w:val="1"/>
        </w:numPr>
      </w:pPr>
      <w:r>
        <w:t>Secreted in follicles of peripheral lymphoid tissue and can bind to several B-cell protein receptors (BAFF-R)</w:t>
      </w:r>
    </w:p>
    <w:p w:rsidR="00F26D85" w:rsidRDefault="00F26D85" w:rsidP="0083786C">
      <w:pPr>
        <w:pStyle w:val="ListParagraph"/>
        <w:numPr>
          <w:ilvl w:val="2"/>
          <w:numId w:val="1"/>
        </w:numPr>
      </w:pPr>
      <w:r>
        <w:t xml:space="preserve">Involved in </w:t>
      </w:r>
      <w:r w:rsidRPr="007C6C08">
        <w:rPr>
          <w:highlight w:val="yellow"/>
        </w:rPr>
        <w:t>B-cell development and mature B-cell survival</w:t>
      </w:r>
    </w:p>
    <w:p w:rsidR="00403441" w:rsidRPr="007C6C08" w:rsidRDefault="00403441" w:rsidP="00403441">
      <w:pPr>
        <w:pStyle w:val="ListParagraph"/>
        <w:numPr>
          <w:ilvl w:val="1"/>
          <w:numId w:val="1"/>
        </w:numPr>
        <w:rPr>
          <w:highlight w:val="yellow"/>
        </w:rPr>
      </w:pPr>
      <w:r w:rsidRPr="007C6C08">
        <w:rPr>
          <w:highlight w:val="yellow"/>
        </w:rPr>
        <w:t>APRIL</w:t>
      </w:r>
    </w:p>
    <w:p w:rsidR="00241390" w:rsidRDefault="00241390" w:rsidP="00403441">
      <w:pPr>
        <w:pStyle w:val="ListParagraph"/>
        <w:numPr>
          <w:ilvl w:val="2"/>
          <w:numId w:val="1"/>
        </w:numPr>
      </w:pPr>
      <w:r>
        <w:t xml:space="preserve">Involved in </w:t>
      </w:r>
      <w:r w:rsidRPr="007C6C08">
        <w:rPr>
          <w:highlight w:val="yellow"/>
        </w:rPr>
        <w:t>proliferatio</w:t>
      </w:r>
      <w:r>
        <w:t>n of cells</w:t>
      </w:r>
    </w:p>
    <w:p w:rsidR="00403441" w:rsidRDefault="00403441" w:rsidP="00403441">
      <w:pPr>
        <w:pStyle w:val="ListParagraph"/>
        <w:numPr>
          <w:ilvl w:val="2"/>
          <w:numId w:val="1"/>
        </w:numPr>
      </w:pPr>
      <w:r>
        <w:t>Has no effect on B-cell development and survival</w:t>
      </w:r>
    </w:p>
    <w:p w:rsidR="00403441" w:rsidRDefault="00241390" w:rsidP="00403441">
      <w:pPr>
        <w:pStyle w:val="ListParagraph"/>
        <w:numPr>
          <w:ilvl w:val="2"/>
          <w:numId w:val="1"/>
        </w:numPr>
      </w:pPr>
      <w:r>
        <w:t>It binds to TACI and BCMA, not BAFF-R</w:t>
      </w:r>
    </w:p>
    <w:p w:rsidR="00D12A31" w:rsidRDefault="00D12A31" w:rsidP="00D12A31">
      <w:pPr>
        <w:pStyle w:val="ListParagraph"/>
        <w:numPr>
          <w:ilvl w:val="1"/>
          <w:numId w:val="1"/>
        </w:numPr>
      </w:pPr>
      <w:r w:rsidRPr="007C6C08">
        <w:rPr>
          <w:highlight w:val="yellow"/>
        </w:rPr>
        <w:t>TACI</w:t>
      </w:r>
      <w:r>
        <w:t xml:space="preserve"> receptor</w:t>
      </w:r>
    </w:p>
    <w:p w:rsidR="00D12A31" w:rsidRDefault="00D12A31" w:rsidP="00D12A31">
      <w:pPr>
        <w:pStyle w:val="ListParagraph"/>
        <w:numPr>
          <w:ilvl w:val="2"/>
          <w:numId w:val="1"/>
        </w:numPr>
      </w:pPr>
      <w:r>
        <w:t xml:space="preserve">The one that mediates </w:t>
      </w:r>
      <w:proofErr w:type="spellStart"/>
      <w:r>
        <w:t>isotype</w:t>
      </w:r>
      <w:proofErr w:type="spellEnd"/>
      <w:r>
        <w:t xml:space="preserve"> switching by BAFF and APRIL</w:t>
      </w:r>
    </w:p>
    <w:p w:rsidR="00D12A31" w:rsidRDefault="00D12A31" w:rsidP="00D12A31">
      <w:pPr>
        <w:pStyle w:val="ListParagraph"/>
        <w:numPr>
          <w:ilvl w:val="2"/>
          <w:numId w:val="1"/>
        </w:numPr>
      </w:pPr>
      <w:r>
        <w:t xml:space="preserve">May also promote </w:t>
      </w:r>
      <w:r w:rsidRPr="007C6C08">
        <w:rPr>
          <w:highlight w:val="yellow"/>
        </w:rPr>
        <w:t>plasma-cell differentiation</w:t>
      </w:r>
      <w:r>
        <w:t xml:space="preserve"> and survival</w:t>
      </w:r>
      <w:bookmarkStart w:id="0" w:name="_GoBack"/>
      <w:bookmarkEnd w:id="0"/>
    </w:p>
    <w:p w:rsidR="000A4F08" w:rsidRPr="006C3895" w:rsidRDefault="000A4F08" w:rsidP="000A4F08">
      <w:pPr>
        <w:pStyle w:val="ListParagraph"/>
        <w:numPr>
          <w:ilvl w:val="0"/>
          <w:numId w:val="1"/>
        </w:numPr>
        <w:rPr>
          <w:b/>
        </w:rPr>
      </w:pPr>
      <w:r w:rsidRPr="006C3895">
        <w:rPr>
          <w:b/>
        </w:rPr>
        <w:t xml:space="preserve">Explain CVID may be caused in several different ways, including some cases that are linked to a mutation in </w:t>
      </w:r>
      <w:r w:rsidRPr="006C3895">
        <w:rPr>
          <w:b/>
          <w:i/>
        </w:rPr>
        <w:t>TACI</w:t>
      </w:r>
      <w:r w:rsidRPr="006C3895">
        <w:rPr>
          <w:b/>
        </w:rPr>
        <w:t>.</w:t>
      </w:r>
    </w:p>
    <w:p w:rsidR="000A4F08" w:rsidRDefault="006F4ECF" w:rsidP="006F4ECF">
      <w:pPr>
        <w:pStyle w:val="ListParagraph"/>
        <w:numPr>
          <w:ilvl w:val="1"/>
          <w:numId w:val="1"/>
        </w:numPr>
      </w:pPr>
      <w:r>
        <w:t>CVID is a “phenotype”</w:t>
      </w:r>
      <w:r w:rsidR="00A94A86">
        <w:t xml:space="preserve"> by the previously mentioned characteristics</w:t>
      </w:r>
    </w:p>
    <w:p w:rsidR="00147D76" w:rsidRDefault="00147D76" w:rsidP="006F4ECF">
      <w:pPr>
        <w:pStyle w:val="ListParagraph"/>
        <w:numPr>
          <w:ilvl w:val="1"/>
          <w:numId w:val="1"/>
        </w:numPr>
      </w:pPr>
      <w:r>
        <w:t xml:space="preserve">Impairing TACI would impair B-cell differentiation and will hinder </w:t>
      </w:r>
      <w:proofErr w:type="spellStart"/>
      <w:r>
        <w:t>isotype</w:t>
      </w:r>
      <w:proofErr w:type="spellEnd"/>
      <w:r>
        <w:t xml:space="preserve"> switching</w:t>
      </w:r>
    </w:p>
    <w:p w:rsidR="000A4F08" w:rsidRPr="006C3895" w:rsidRDefault="000A4F08" w:rsidP="00305654">
      <w:pPr>
        <w:pStyle w:val="ListParagraph"/>
        <w:numPr>
          <w:ilvl w:val="0"/>
          <w:numId w:val="1"/>
        </w:numPr>
        <w:rPr>
          <w:b/>
        </w:rPr>
      </w:pPr>
      <w:r w:rsidRPr="006C3895">
        <w:rPr>
          <w:b/>
        </w:rPr>
        <w:t xml:space="preserve">Explain CVID is characterized by low levels of IgA, IgG, and </w:t>
      </w:r>
      <w:proofErr w:type="spellStart"/>
      <w:r w:rsidRPr="006C3895">
        <w:rPr>
          <w:b/>
        </w:rPr>
        <w:t>IgE</w:t>
      </w:r>
      <w:proofErr w:type="spellEnd"/>
      <w:r w:rsidRPr="006C3895">
        <w:rPr>
          <w:b/>
        </w:rPr>
        <w:t xml:space="preserve">, a poor ability to mount antibody responses that involve </w:t>
      </w:r>
      <w:proofErr w:type="spellStart"/>
      <w:r w:rsidRPr="006C3895">
        <w:rPr>
          <w:b/>
        </w:rPr>
        <w:t>isotype</w:t>
      </w:r>
      <w:proofErr w:type="spellEnd"/>
      <w:r w:rsidRPr="006C3895">
        <w:rPr>
          <w:b/>
        </w:rPr>
        <w:t xml:space="preserve"> switching, and by significantly enhanced susceptibility to infections, including both respiratory (where IgG and IgA antibodies protect) and gastrointestinal infections (where IgA antibodies are important).</w:t>
      </w:r>
    </w:p>
    <w:p w:rsidR="000A4F08" w:rsidRPr="006C3895" w:rsidRDefault="000A4F08" w:rsidP="000A4F08">
      <w:pPr>
        <w:pStyle w:val="ListParagraph"/>
        <w:numPr>
          <w:ilvl w:val="0"/>
          <w:numId w:val="1"/>
        </w:numPr>
        <w:rPr>
          <w:b/>
        </w:rPr>
      </w:pPr>
      <w:r w:rsidRPr="006C3895">
        <w:rPr>
          <w:b/>
        </w:rPr>
        <w:t>List the enhanced risks of developing autoimmune diseases, lymphoma, and gastric carcinoma as major concerns for patients with CVID.</w:t>
      </w:r>
    </w:p>
    <w:p w:rsidR="00F901F9" w:rsidRDefault="00F901F9" w:rsidP="009D3C19">
      <w:pPr>
        <w:pStyle w:val="ListParagraph"/>
        <w:numPr>
          <w:ilvl w:val="1"/>
          <w:numId w:val="1"/>
        </w:numPr>
      </w:pPr>
      <w:r>
        <w:t>Greater risk of developing autoimmune disease</w:t>
      </w:r>
    </w:p>
    <w:p w:rsidR="009D3C19" w:rsidRDefault="009D3C19" w:rsidP="009D3C19">
      <w:pPr>
        <w:pStyle w:val="ListParagraph"/>
        <w:numPr>
          <w:ilvl w:val="1"/>
          <w:numId w:val="1"/>
        </w:numPr>
      </w:pPr>
      <w:r>
        <w:t>300x – lymphoma</w:t>
      </w:r>
    </w:p>
    <w:p w:rsidR="009D3C19" w:rsidRDefault="009D3C19" w:rsidP="009D3C19">
      <w:pPr>
        <w:pStyle w:val="ListParagraph"/>
        <w:numPr>
          <w:ilvl w:val="1"/>
          <w:numId w:val="1"/>
        </w:numPr>
      </w:pPr>
      <w:r>
        <w:t>50x – gastric carcinoma</w:t>
      </w:r>
    </w:p>
    <w:p w:rsidR="000A4F08" w:rsidRDefault="000A4F08" w:rsidP="000A4F08"/>
    <w:sectPr w:rsidR="000A4F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92C2D"/>
    <w:multiLevelType w:val="hybridMultilevel"/>
    <w:tmpl w:val="01AEDC88"/>
    <w:lvl w:ilvl="0" w:tplc="41445B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EBB"/>
    <w:rsid w:val="00064E7A"/>
    <w:rsid w:val="000A4F08"/>
    <w:rsid w:val="000B6DE9"/>
    <w:rsid w:val="00147D76"/>
    <w:rsid w:val="00241390"/>
    <w:rsid w:val="002631D3"/>
    <w:rsid w:val="00305654"/>
    <w:rsid w:val="00347268"/>
    <w:rsid w:val="003D0711"/>
    <w:rsid w:val="00403441"/>
    <w:rsid w:val="004C1085"/>
    <w:rsid w:val="004C66BB"/>
    <w:rsid w:val="004E565C"/>
    <w:rsid w:val="006C3895"/>
    <w:rsid w:val="006F4ECF"/>
    <w:rsid w:val="007C6C08"/>
    <w:rsid w:val="007E2DA1"/>
    <w:rsid w:val="0083786C"/>
    <w:rsid w:val="0084675D"/>
    <w:rsid w:val="0090556E"/>
    <w:rsid w:val="009231FE"/>
    <w:rsid w:val="00932EBB"/>
    <w:rsid w:val="00977F8A"/>
    <w:rsid w:val="009C5867"/>
    <w:rsid w:val="009D3C19"/>
    <w:rsid w:val="00A14223"/>
    <w:rsid w:val="00A94A86"/>
    <w:rsid w:val="00AC3B9D"/>
    <w:rsid w:val="00AC7E2F"/>
    <w:rsid w:val="00B536CA"/>
    <w:rsid w:val="00D12A31"/>
    <w:rsid w:val="00E16D69"/>
    <w:rsid w:val="00ED0350"/>
    <w:rsid w:val="00F26D85"/>
    <w:rsid w:val="00F9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2E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2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Nischal</dc:creator>
  <cp:lastModifiedBy>Drew's Ltop</cp:lastModifiedBy>
  <cp:revision>34</cp:revision>
  <dcterms:created xsi:type="dcterms:W3CDTF">2012-09-04T23:37:00Z</dcterms:created>
  <dcterms:modified xsi:type="dcterms:W3CDTF">2012-09-09T13:04:00Z</dcterms:modified>
</cp:coreProperties>
</file>